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top"/>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02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4"/>
                                      <w:vertAlign w:val="baseline"/>
                                    </w:rPr>
                                    <w:t xml:space="preserve">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02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02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02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03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4162.010.26.1.4735 de 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MAYRA ALEJANDRA YAGUE ORDOÑEZ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1.107.093.010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Nombre del supervisor: KRYSTHIAN DAVID RAMIREZ MUNEVAR</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Objeto del contrato: </w:t>
            </w:r>
          </w:p>
          <w:p w:rsidR="00000000" w:rsidDel="00000000" w:rsidP="00000000" w:rsidRDefault="00000000" w:rsidRPr="00000000" w14:paraId="00000020">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Prestación de servicios profesionales en la Secretaria del Deporte y la Recreación del proyecto denominado Conservación de la infraestructura deportiva y recreativa del distrito especial de Santiago de Cali BP – 26005399.</w:t>
            </w:r>
          </w:p>
        </w:tc>
      </w:tr>
      <w:tr>
        <w:trPr>
          <w:cantSplit w:val="0"/>
          <w:trHeight w:val="508"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JURÍDICO</w:t>
            </w:r>
          </w:p>
        </w:tc>
      </w:tr>
      <w:tr>
        <w:trPr>
          <w:cantSplit w:val="0"/>
          <w:trHeight w:val="38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4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2B">
            <w:pPr>
              <w:rPr>
                <w:rFonts w:ascii="Arial" w:cs="Arial" w:eastAsia="Arial" w:hAnsi="Arial"/>
                <w:color w:val="ff0000"/>
                <w:sz w:val="24"/>
                <w:szCs w:val="24"/>
                <w:vertAlign w:val="baseline"/>
              </w:rPr>
            </w:pPr>
            <w:r w:rsidDel="00000000" w:rsidR="00000000" w:rsidRPr="00000000">
              <w:rPr>
                <w:rFonts w:ascii="Arial" w:cs="Arial" w:eastAsia="Arial" w:hAnsi="Arial"/>
                <w:sz w:val="24"/>
                <w:szCs w:val="24"/>
                <w:vertAlign w:val="baseline"/>
                <w:rtl w:val="0"/>
              </w:rPr>
              <w:t xml:space="preserve">Modificación(es) al contrato: N/A</w:t>
            </w:r>
            <w:r w:rsidDel="00000000" w:rsidR="00000000" w:rsidRPr="00000000">
              <w:rPr>
                <w:rFonts w:ascii="Arial" w:cs="Arial" w:eastAsia="Arial" w:hAnsi="Arial"/>
                <w:color w:val="ff0000"/>
                <w:sz w:val="24"/>
                <w:szCs w:val="24"/>
                <w:vertAlign w:val="baseline"/>
                <w:rtl w:val="0"/>
              </w:rPr>
              <w:t xml:space="preserve"> </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DIECISEIS MILLONES TRESCIENTOS TREINTA Y CINCO MIL PESOS M/CTE ($16.335.000).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rHeight w:val="254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4F">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3">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2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82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$16.335.000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$5.445.000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$10.890.000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w:t>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4"/>
                <w:szCs w:val="24"/>
                <w:vertAlign w:val="baseline"/>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Datos Certificación o Planilla de Pago</w:t>
            </w:r>
          </w:p>
        </w:tc>
      </w:tr>
      <w:tr>
        <w:trPr>
          <w:cantSplit w:val="0"/>
          <w:trHeight w:val="1320"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vAlign w:val="top"/>
          </w:tcPr>
          <w:p w:rsidR="00000000" w:rsidDel="00000000" w:rsidP="00000000" w:rsidRDefault="00000000" w:rsidRPr="00000000" w14:paraId="0000006D">
            <w:pPr>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vAlign w:val="top"/>
          </w:tcPr>
          <w:p w:rsidR="00000000" w:rsidDel="00000000" w:rsidP="00000000" w:rsidRDefault="00000000" w:rsidRPr="00000000" w14:paraId="0000006F">
            <w:pP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Planilla: 1077554894</w:t>
            </w:r>
          </w:p>
          <w:p w:rsidR="00000000" w:rsidDel="00000000" w:rsidP="00000000" w:rsidRDefault="00000000" w:rsidRPr="00000000" w14:paraId="00000070">
            <w:pP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No. PIN, Autorización, Referencia, Pago: 1</w:t>
            </w:r>
            <w:r w:rsidDel="00000000" w:rsidR="00000000" w:rsidRPr="00000000">
              <w:rPr>
                <w:rFonts w:ascii="Arial" w:cs="Arial" w:eastAsia="Arial" w:hAnsi="Arial"/>
                <w:sz w:val="24"/>
                <w:szCs w:val="24"/>
                <w:rtl w:val="0"/>
              </w:rPr>
              <w:t xml:space="preserve">972634635</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Operador: SIMPLE</w:t>
            </w:r>
          </w:p>
          <w:p w:rsidR="00000000" w:rsidDel="00000000" w:rsidP="00000000" w:rsidRDefault="00000000" w:rsidRPr="00000000" w14:paraId="00000072">
            <w:pPr>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Fecha de Pago: 02/dic/2025</w:t>
            </w:r>
          </w:p>
          <w:p w:rsidR="00000000" w:rsidDel="00000000" w:rsidP="00000000" w:rsidRDefault="00000000" w:rsidRPr="00000000" w14:paraId="00000073">
            <w:pPr>
              <w:rPr>
                <w:rFonts w:ascii="Arial" w:cs="Arial" w:eastAsia="Arial" w:hAnsi="Arial"/>
                <w:sz w:val="24"/>
                <w:szCs w:val="24"/>
                <w:highlight w:val="yellow"/>
                <w:vertAlign w:val="baseline"/>
              </w:rPr>
            </w:pPr>
            <w:r w:rsidDel="00000000" w:rsidR="00000000" w:rsidRPr="00000000">
              <w:rPr>
                <w:rFonts w:ascii="Arial" w:cs="Arial" w:eastAsia="Arial" w:hAnsi="Arial"/>
                <w:sz w:val="24"/>
                <w:szCs w:val="24"/>
                <w:vertAlign w:val="baseline"/>
                <w:rtl w:val="0"/>
              </w:rPr>
              <w:t xml:space="preserve">Periodo de pago de la seguridad social: Diciembre 2025</w:t>
            </w:r>
            <w:r w:rsidDel="00000000" w:rsidR="00000000" w:rsidRPr="00000000">
              <w:rPr>
                <w:rtl w:val="0"/>
              </w:rPr>
            </w:r>
          </w:p>
        </w:tc>
      </w:tr>
      <w:tr>
        <w:trPr>
          <w:cantSplit w:val="0"/>
          <w:trHeight w:val="4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75">
            <w:pPr>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6">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Observaciones al informe financiero y contable: N/A</w:t>
            </w:r>
          </w:p>
          <w:p w:rsidR="00000000" w:rsidDel="00000000" w:rsidP="00000000" w:rsidRDefault="00000000" w:rsidRPr="00000000" w14:paraId="00000077">
            <w:pPr>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8">
            <w:pPr>
              <w:rPr>
                <w:rFonts w:ascii="Arial" w:cs="Arial" w:eastAsia="Arial" w:hAnsi="Arial"/>
                <w:sz w:val="24"/>
                <w:szCs w:val="24"/>
                <w:vertAlign w:val="baseline"/>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TÉCNICO</w:t>
            </w:r>
          </w:p>
        </w:tc>
      </w:tr>
      <w:tr>
        <w:trPr>
          <w:cantSplit w:val="0"/>
          <w:trHeight w:val="9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 Durante el desarrollo del contrato de prestación de servicios No. 4162.010.26.1.4735 - 2025 se pudo verificar que el contratista realizó las siguientes actividades en cumplimiento de sus obligaciones y objeto contractual:</w:t>
            </w:r>
          </w:p>
          <w:p w:rsidR="00000000" w:rsidDel="00000000" w:rsidP="00000000" w:rsidRDefault="00000000" w:rsidRPr="00000000" w14:paraId="0000007F">
            <w:pPr>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0">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1. Ejecutar acciones de gestión de la calidad orientadas a favorecer el uso adecuado de la infraestructura deportiva y recreativa del Distrito Especial de Santiago de Cali, garantizando el cumplimiento de criterios de seguridad, accesibilidad e inclusión. Para tal fin, se llevará a cabo autodiagnóstico, revisión documental y visitas en campo, con el propósito de analizar el desempeño institucional, identificar brechas y asegurar la mejora continua de los procesos en las diferentes líneas de servicio. </w:t>
            </w:r>
          </w:p>
          <w:p w:rsidR="00000000" w:rsidDel="00000000" w:rsidP="00000000" w:rsidRDefault="00000000" w:rsidRPr="00000000" w14:paraId="00000081">
            <w:pPr>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82">
            <w:pPr>
              <w:numPr>
                <w:ilvl w:val="0"/>
                <w:numId w:val="2"/>
              </w:numPr>
              <w:ind w:left="720" w:hanging="360"/>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No se requirió la actividad este mes. </w:t>
            </w:r>
          </w:p>
          <w:p w:rsidR="00000000" w:rsidDel="00000000" w:rsidP="00000000" w:rsidRDefault="00000000" w:rsidRPr="00000000" w14:paraId="00000083">
            <w:pPr>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84">
            <w:pPr>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2. Realizar la elaboración de la documentación, registros, informes, planes de mejoramiento, roles y responsabilidades del Sistema de Gestión de Calidad SGC para las líneas de servicio asignadas.</w:t>
            </w:r>
          </w:p>
          <w:p w:rsidR="00000000" w:rsidDel="00000000" w:rsidP="00000000" w:rsidRDefault="00000000" w:rsidRPr="00000000" w14:paraId="00000085">
            <w:pPr>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86">
            <w:pPr>
              <w:numPr>
                <w:ilvl w:val="0"/>
                <w:numId w:val="2"/>
              </w:numPr>
              <w:ind w:left="720" w:hanging="360"/>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La contratista participó en la mesa de trabajo con el equipo del SGC de la SDR para realizar seguimiento y ajustes al formato MEDE01.05.02.P027.F001 - Análisis y Planificación de Cambio como parte de la ejecución de los planes de mejoramiento de la auditoría interna del SGC 2025.</w:t>
            </w:r>
          </w:p>
          <w:p w:rsidR="00000000" w:rsidDel="00000000" w:rsidP="00000000" w:rsidRDefault="00000000" w:rsidRPr="00000000" w14:paraId="00000087">
            <w:pPr>
              <w:numPr>
                <w:ilvl w:val="0"/>
                <w:numId w:val="2"/>
              </w:numPr>
              <w:ind w:left="720" w:hanging="360"/>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La contratista participó en la mesa de trabajo con los coordinadores y líderes responsables del mantenimiento del Sistema de Gestión de Calidad (SGC) en los programas de la Subsecretaría de Fomento, con el propósito de ejecutar la revisión documental conforme a los procedimientos establecidos para cada línea de servicio, alineados con los requisitos ISO 9001:2015 y definir lineamientos precisos para el cierre anual 2025, asegurando la evidencia de las herramientas de control y la ausencia total de documentación pendiente.</w:t>
            </w:r>
          </w:p>
          <w:p w:rsidR="00000000" w:rsidDel="00000000" w:rsidP="00000000" w:rsidRDefault="00000000" w:rsidRPr="00000000" w14:paraId="00000088">
            <w:pPr>
              <w:ind w:left="720" w:firstLine="0"/>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89">
            <w:pPr>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3. Realizar el desarrollo de las auditorías internas y externas recibidas en el organismo con respecto al cumplimiento de la NTC ISO 9001:2015 cada vez que se requiera en las líneas de servicio.</w:t>
            </w:r>
          </w:p>
          <w:p w:rsidR="00000000" w:rsidDel="00000000" w:rsidP="00000000" w:rsidRDefault="00000000" w:rsidRPr="00000000" w14:paraId="0000008A">
            <w:pPr>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8B">
            <w:pPr>
              <w:numPr>
                <w:ilvl w:val="0"/>
                <w:numId w:val="4"/>
              </w:numPr>
              <w:ind w:left="1440" w:hanging="360"/>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No se requirió la actividad este mes </w:t>
            </w:r>
          </w:p>
          <w:p w:rsidR="00000000" w:rsidDel="00000000" w:rsidP="00000000" w:rsidRDefault="00000000" w:rsidRPr="00000000" w14:paraId="0000008C">
            <w:pPr>
              <w:ind w:left="1440" w:firstLine="0"/>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8D">
            <w:pPr>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4. Realizar el levantamiento de información de la herramienta de control (objetivos de Calidad y Salidas no conformes), de acuerdo a los lineamientos del DADDI. </w:t>
            </w:r>
          </w:p>
          <w:p w:rsidR="00000000" w:rsidDel="00000000" w:rsidP="00000000" w:rsidRDefault="00000000" w:rsidRPr="00000000" w14:paraId="0000008E">
            <w:pPr>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8F">
            <w:pPr>
              <w:numPr>
                <w:ilvl w:val="0"/>
                <w:numId w:val="2"/>
              </w:numPr>
              <w:ind w:left="720" w:hanging="360"/>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La contratista dio apoyo en la revisión de las salidas no conformes reportadas por los programas, a través de su plan de seguimiento, no solo documentó el progreso, sino que también analizó críticamente las deficiencias detectadas. De esta manera, logró tipificar con precisión cada hallazgo, diferenciando entre novedades y aquellos elementos críticos que se consideraban salidas no conformes.</w:t>
            </w:r>
          </w:p>
          <w:p w:rsidR="00000000" w:rsidDel="00000000" w:rsidP="00000000" w:rsidRDefault="00000000" w:rsidRPr="00000000" w14:paraId="00000090">
            <w:pPr>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91">
            <w:pPr>
              <w:jc w:val="both"/>
              <w:rPr>
                <w:rFonts w:ascii="Arial" w:cs="Arial" w:eastAsia="Arial" w:hAnsi="Arial"/>
                <w:color w:val="000000"/>
                <w:sz w:val="24"/>
                <w:szCs w:val="24"/>
                <w:vertAlign w:val="baseline"/>
              </w:rPr>
            </w:pPr>
            <w:r w:rsidDel="00000000" w:rsidR="00000000" w:rsidRPr="00000000">
              <w:rPr>
                <w:rFonts w:ascii="Arial" w:cs="Arial" w:eastAsia="Arial" w:hAnsi="Arial"/>
                <w:color w:val="000000"/>
                <w:sz w:val="24"/>
                <w:szCs w:val="24"/>
                <w:vertAlign w:val="baseline"/>
                <w:rtl w:val="0"/>
              </w:rPr>
              <w:t xml:space="preserve">5. Las demás relacionadas con el desarrollo del objeto contractual.</w:t>
            </w:r>
          </w:p>
          <w:p w:rsidR="00000000" w:rsidDel="00000000" w:rsidP="00000000" w:rsidRDefault="00000000" w:rsidRPr="00000000" w14:paraId="00000092">
            <w:pPr>
              <w:jc w:val="both"/>
              <w:rPr>
                <w:rFonts w:ascii="Arial" w:cs="Arial" w:eastAsia="Arial" w:hAnsi="Arial"/>
                <w:color w:val="000000"/>
                <w:sz w:val="24"/>
                <w:szCs w:val="24"/>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soporte en la revisión diaria de la plataforma ORFEO, manteniendo actualizada la información y garantizando la gestión oportuna de los oficios, comunicaciones y solicitudes asignadas al equipo del Sistema de Gestión de la Calidad (SGC). </w:t>
            </w:r>
          </w:p>
          <w:p w:rsidR="00000000" w:rsidDel="00000000" w:rsidP="00000000" w:rsidRDefault="00000000" w:rsidRPr="00000000" w14:paraId="0000009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 contratista brindó apoyo en la revisión y radicación de las cuentas de cobro correspondientes a los equipos del Sistema de Gestión de la Calidad (SGC) y del Sistema de Gestión Integral de Residuos Sólidos (SGIRS), verificando el cumplimiento de los requisitos establecidos y asegurando la correcta presentación de los documentos.</w:t>
            </w:r>
          </w:p>
          <w:p w:rsidR="00000000" w:rsidDel="00000000" w:rsidP="00000000" w:rsidRDefault="00000000" w:rsidRPr="00000000" w14:paraId="00000095">
            <w:pPr>
              <w:jc w:val="both"/>
              <w:rPr>
                <w:sz w:val="24"/>
                <w:szCs w:val="24"/>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VERIFICACION:</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https://drive.google.com/drive/folders/1y1ZzjU2TW2QGaepY-jozABc3ipoRBxDT</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2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por parte de la ALCALDÍA DE SANTIAGO DE CALI – SECRETARÍA DEL DEPORTE Y LA RECREACIÓN de los servicios prestados pactados en el contrato No. 4162.010.26.1.4735 de 2025.</w:t>
            </w:r>
          </w:p>
        </w:tc>
      </w:tr>
      <w:tr>
        <w:trPr>
          <w:cantSplit w:val="1"/>
          <w:trHeight w:val="56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A0">
            <w:pPr>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Constancia de Paz y Salvo: El contratista a la fecha del presente informe no posee a su cargo elementos devolutivos de propiedad de la ALCALDÍA DE SANTIAGO DE CALI -SECRETARÍA DEL DEPORTE Y LA RECREACIÓN, que hayan sido entregados por este organismo para el desempeño de sus actividades. Así mismo se encuentra a Paz y Salvo con el archivo de gestión documental y el sistema de gestión documental.</w:t>
            </w:r>
          </w:p>
        </w:tc>
      </w:tr>
      <w:tr>
        <w:trPr>
          <w:cantSplit w:val="1"/>
          <w:trHeight w:val="44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del Backup.</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top"/>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RECOMENDACIONES PARA EL CONTRATISTA</w:t>
            </w:r>
          </w:p>
        </w:tc>
      </w:tr>
      <w:tr>
        <w:trPr>
          <w:cantSplit w:val="1"/>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top"/>
          </w:tcPr>
          <w:p w:rsidR="00000000" w:rsidDel="00000000" w:rsidP="00000000" w:rsidRDefault="00000000" w:rsidRPr="00000000" w14:paraId="000000A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KRYSTHIAN DAVID RAMIREZ MUNEVAR</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top"/>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19/Dic/2025.</w:t>
            </w:r>
          </w:p>
        </w:tc>
      </w:tr>
    </w:tbl>
    <w:p w:rsidR="00000000" w:rsidDel="00000000" w:rsidP="00000000" w:rsidRDefault="00000000" w:rsidRPr="00000000" w14:paraId="000000BC">
      <w:pPr>
        <w:rPr>
          <w:rFonts w:ascii="Arial" w:cs="Arial" w:eastAsia="Arial" w:hAnsi="Arial"/>
          <w:sz w:val="24"/>
          <w:szCs w:val="24"/>
          <w:vertAlign w:val="baseline"/>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vertAlign w:val="baseline"/>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114300" distR="114300">
                <wp:extent cx="1076325" cy="828040"/>
                <wp:effectExtent b="0" l="0" r="0" t="0"/>
                <wp:docPr descr="escudo" id="1028"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6325" cy="828040"/>
                        </a:xfrm>
                        <a:prstGeom prst="rect"/>
                        <a:ln/>
                      </pic:spPr>
                    </pic:pic>
                  </a:graphicData>
                </a:graphic>
              </wp:inline>
            </w:drawing>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jc w:val="center"/>
            <w:rPr>
              <w:rFonts w:ascii="Arial" w:cs="Arial" w:eastAsia="Arial" w:hAnsi="Arial"/>
              <w:sz w:val="18"/>
              <w:szCs w:val="18"/>
              <w:vertAlign w:val="baseline"/>
            </w:rPr>
          </w:pPr>
          <w:r w:rsidDel="00000000" w:rsidR="00000000" w:rsidRPr="00000000">
            <w:rPr>
              <w:rFonts w:ascii="Arial" w:cs="Arial" w:eastAsia="Arial" w:hAnsi="Arial"/>
              <w:color w:val="000000"/>
              <w:highlight w:val="white"/>
              <w:vertAlign w:val="baselin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080" w:hanging="360"/>
      </w:pPr>
      <w:rPr>
        <w:rFonts w:ascii="Arial" w:cs="Arial" w:eastAsia="Arial" w:hAnsi="Arial"/>
        <w:color w:val="000000"/>
        <w:sz w:val="24"/>
        <w:szCs w:val="24"/>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abstractNum w:abstractNumId="4">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5">
    <w:lvl w:ilvl="0">
      <w:start w:val="5"/>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árrafopredeter.">
    <w:name w:val="Fuente de párrafo predeter."/>
    <w:next w:val="Fuentedepárrafopredeter."/>
    <w:autoRedefine w:val="0"/>
    <w:hidden w:val="0"/>
    <w:qFormat w:val="1"/>
    <w:rPr>
      <w:w w:val="100"/>
      <w:position w:val="-1"/>
      <w:effect w:val="none"/>
      <w:vertAlign w:val="baseline"/>
      <w:cs w:val="0"/>
      <w:em w:val="none"/>
      <w:lang/>
    </w:rPr>
  </w:style>
  <w:style w:type="table" w:styleId="Tablanormal">
    <w:name w:val="Tabla normal"/>
    <w:next w:val="Tabla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anormal"/>
      <w:jc w:val="left"/>
      <w:tblCellMar>
        <w:top w:w="0.0" w:type="dxa"/>
        <w:left w:w="108.0" w:type="dxa"/>
        <w:bottom w:w="0.0" w:type="dxa"/>
        <w:right w:w="108.0" w:type="dxa"/>
      </w:tblCellMar>
    </w:tblPr>
  </w:style>
  <w:style w:type="numbering" w:styleId="Sinlista">
    <w:name w:val="Sin lista"/>
    <w:next w:val="Sinlista"/>
    <w:autoRedefine w:val="0"/>
    <w:hidden w:val="0"/>
    <w:qFormat w:val="1"/>
    <w:pPr>
      <w:suppressAutoHyphens w:val="1"/>
      <w:spacing w:line="1" w:lineRule="atLeast"/>
      <w:ind w:leftChars="-1" w:rightChars="0" w:firstLineChars="-1"/>
      <w:textDirection w:val="btLr"/>
      <w:textAlignment w:val="top"/>
      <w:outlineLvl w:val="0"/>
    </w:pPr>
  </w:style>
  <w:style w:type="character" w:styleId="Hipervínculo">
    <w:name w:val="Hipervínculo"/>
    <w:next w:val="Hipervínculo"/>
    <w:autoRedefine w:val="0"/>
    <w:hidden w:val="0"/>
    <w:qFormat w:val="1"/>
    <w:rPr>
      <w:color w:val="0563c1"/>
      <w:w w:val="100"/>
      <w:position w:val="-1"/>
      <w:u w:val="single"/>
      <w:effect w:val="none"/>
      <w:vertAlign w:val="baseline"/>
      <w:cs w:val="0"/>
      <w:em w:val="none"/>
      <w:lang/>
    </w:rPr>
  </w:style>
  <w:style w:type="paragraph" w:styleId="Textoindependiente2">
    <w:name w:val="Texto independiente 2"/>
    <w:basedOn w:val="Normal"/>
    <w:next w:val="Textoindependiente2"/>
    <w:autoRedefine w:val="0"/>
    <w:hidden w:val="0"/>
    <w:qFormat w:val="0"/>
    <w:pPr>
      <w:suppressAutoHyphens w:val="0"/>
      <w:autoSpaceDN w:val="0"/>
      <w:spacing w:line="480" w:lineRule="auto"/>
      <w:ind w:leftChars="-1" w:rightChars="0" w:firstLineChars="-1"/>
      <w:jc w:val="both"/>
      <w:textDirection w:val="btLr"/>
      <w:textAlignment w:val="baseline"/>
      <w:outlineLvl w:val="0"/>
    </w:pPr>
    <w:rPr>
      <w:rFonts w:ascii="Times New Roman" w:eastAsia="Times New Roman" w:hAnsi="Times New Roman"/>
      <w:w w:val="100"/>
      <w:position w:val="-1"/>
      <w:sz w:val="24"/>
      <w:effect w:val="none"/>
      <w:vertAlign w:val="baseline"/>
      <w:cs w:val="0"/>
      <w:em w:val="none"/>
      <w:lang w:bidi="ar-SA" w:eastAsia="es-ES" w:val="es-CO"/>
    </w:rPr>
  </w:style>
  <w:style w:type="character" w:styleId="Textoindependiente2Car">
    <w:name w:val="Texto independiente 2 Car"/>
    <w:next w:val="Textoindependiente2Car"/>
    <w:autoRedefine w:val="0"/>
    <w:hidden w:val="0"/>
    <w:qFormat w:val="0"/>
    <w:rPr>
      <w:rFonts w:ascii="Times New Roman" w:cs="Times New Roman" w:eastAsia="Times New Roman" w:hAnsi="Times New Roman"/>
      <w:w w:val="100"/>
      <w:position w:val="-1"/>
      <w:sz w:val="24"/>
      <w:szCs w:val="20"/>
      <w:effect w:val="none"/>
      <w:vertAlign w:val="baseline"/>
      <w:cs w:val="0"/>
      <w:em w:val="none"/>
      <w:lang w:eastAsia="es-ES"/>
    </w:rPr>
  </w:style>
  <w:style w:type="paragraph" w:styleId="Encabezado">
    <w:name w:val="Encabezado"/>
    <w:basedOn w:val="Normal"/>
    <w:next w:val="Encabezado"/>
    <w:autoRedefine w:val="0"/>
    <w:hidden w:val="0"/>
    <w:qFormat w:val="0"/>
    <w:pPr>
      <w:tabs>
        <w:tab w:val="center" w:leader="none" w:pos="4252"/>
        <w:tab w:val="right" w:leader="none" w:pos="8504"/>
      </w:tabs>
      <w:suppressAutoHyphens w:val="0"/>
      <w:autoSpaceDN w:val="0"/>
      <w:spacing w:line="1" w:lineRule="atLeast"/>
      <w:ind w:leftChars="-1" w:rightChars="0" w:firstLineChars="-1"/>
      <w:textDirection w:val="btLr"/>
      <w:textAlignment w:val="baseline"/>
      <w:outlineLvl w:val="0"/>
    </w:pPr>
    <w:rPr>
      <w:rFonts w:ascii="Times New Roman" w:eastAsia="Times New Roman" w:hAnsi="Times New Roman"/>
      <w:w w:val="100"/>
      <w:position w:val="-1"/>
      <w:effect w:val="none"/>
      <w:vertAlign w:val="baseline"/>
      <w:cs w:val="0"/>
      <w:em w:val="none"/>
      <w:lang w:bidi="ar-SA" w:eastAsia="es-ES" w:val="es-ES"/>
    </w:rPr>
  </w:style>
  <w:style w:type="character" w:styleId="EncabezadoCar">
    <w:name w:val="Encabezado Car"/>
    <w:next w:val="EncabezadoCar"/>
    <w:autoRedefine w:val="0"/>
    <w:hidden w:val="0"/>
    <w:qFormat w:val="0"/>
    <w:rPr>
      <w:rFonts w:ascii="Times New Roman" w:cs="Times New Roman" w:eastAsia="Times New Roman" w:hAnsi="Times New Roman"/>
      <w:w w:val="100"/>
      <w:position w:val="-1"/>
      <w:sz w:val="20"/>
      <w:szCs w:val="20"/>
      <w:effect w:val="none"/>
      <w:vertAlign w:val="baseline"/>
      <w:cs w:val="0"/>
      <w:em w:val="none"/>
      <w:lang w:eastAsia="es-ES" w:val="es-ES"/>
    </w:rPr>
  </w:style>
  <w:style w:type="paragraph" w:styleId="Piedepágina">
    <w:name w:val="Pie de página"/>
    <w:basedOn w:val="Normal"/>
    <w:next w:val="Piedepágina"/>
    <w:autoRedefine w:val="0"/>
    <w:hidden w:val="0"/>
    <w:qFormat w:val="0"/>
    <w:pPr>
      <w:tabs>
        <w:tab w:val="center" w:leader="none" w:pos="4252"/>
        <w:tab w:val="right" w:leader="none" w:pos="8504"/>
      </w:tabs>
      <w:suppressAutoHyphens w:val="0"/>
      <w:autoSpaceDN w:val="0"/>
      <w:spacing w:line="1" w:lineRule="atLeast"/>
      <w:ind w:leftChars="-1" w:rightChars="0" w:firstLineChars="-1"/>
      <w:textDirection w:val="btLr"/>
      <w:textAlignment w:val="baseline"/>
      <w:outlineLvl w:val="0"/>
    </w:pPr>
    <w:rPr>
      <w:rFonts w:ascii="Times New Roman" w:eastAsia="Times New Roman" w:hAnsi="Times New Roman"/>
      <w:w w:val="100"/>
      <w:position w:val="-1"/>
      <w:effect w:val="none"/>
      <w:vertAlign w:val="baseline"/>
      <w:cs w:val="0"/>
      <w:em w:val="none"/>
      <w:lang w:bidi="ar-SA" w:eastAsia="es-ES" w:val="es-ES"/>
    </w:rPr>
  </w:style>
  <w:style w:type="character" w:styleId="PiedepáginaCar">
    <w:name w:val="Pie de página Car"/>
    <w:next w:val="PiedepáginaCar"/>
    <w:autoRedefine w:val="0"/>
    <w:hidden w:val="0"/>
    <w:qFormat w:val="0"/>
    <w:rPr>
      <w:rFonts w:ascii="Times New Roman" w:cs="Times New Roman" w:eastAsia="Times New Roman" w:hAnsi="Times New Roman"/>
      <w:w w:val="100"/>
      <w:position w:val="-1"/>
      <w:sz w:val="20"/>
      <w:szCs w:val="20"/>
      <w:effect w:val="none"/>
      <w:vertAlign w:val="baseline"/>
      <w:cs w:val="0"/>
      <w:em w:val="none"/>
      <w:lang w:eastAsia="es-ES" w:val="es-ES"/>
    </w:rPr>
  </w:style>
  <w:style w:type="paragraph" w:styleId="Párrafodelista">
    <w:name w:val="Párrafo de lista"/>
    <w:basedOn w:val="Normal"/>
    <w:next w:val="Párrafodelista"/>
    <w:autoRedefine w:val="0"/>
    <w:hidden w:val="0"/>
    <w:qFormat w:val="0"/>
    <w:pPr>
      <w:suppressAutoHyphens w:val="0"/>
      <w:autoSpaceDN w:val="0"/>
      <w:spacing w:line="1" w:lineRule="atLeast"/>
      <w:ind w:left="720" w:leftChars="-1" w:rightChars="0" w:firstLineChars="-1"/>
      <w:textDirection w:val="btLr"/>
      <w:textAlignment w:val="baseline"/>
      <w:outlineLvl w:val="0"/>
    </w:pPr>
    <w:rPr>
      <w:rFonts w:ascii="Times New Roman" w:eastAsia="Times New Roman" w:hAnsi="Times New Roman"/>
      <w:w w:val="100"/>
      <w:position w:val="-1"/>
      <w:effect w:val="none"/>
      <w:vertAlign w:val="baseline"/>
      <w:cs w:val="0"/>
      <w:em w:val="none"/>
      <w:lang w:bidi="ar-SA" w:eastAsia="es-ES" w:val="es-ES"/>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1" w:lineRule="atLeast"/>
      <w:ind w:leftChars="-1" w:rightChars="0" w:firstLineChars="-1"/>
      <w:textDirection w:val="btLr"/>
      <w:textAlignment w:val="auto"/>
      <w:outlineLvl w:val="0"/>
    </w:pPr>
    <w:rPr>
      <w:rFonts w:ascii="Arial" w:cs="Arial" w:eastAsia="Arial" w:hAnsi="Arial"/>
      <w:w w:val="100"/>
      <w:position w:val="-1"/>
      <w:sz w:val="22"/>
      <w:szCs w:val="22"/>
      <w:effect w:val="none"/>
      <w:vertAlign w:val="baseline"/>
      <w:cs w:val="0"/>
      <w:em w:val="none"/>
      <w:lang w:bidi="ar-SA" w:eastAsia="en-US" w:val="es-ES"/>
    </w:rPr>
  </w:style>
  <w:style w:type="character" w:styleId="Menciónsinresolver">
    <w:name w:val="Mención sin resolver"/>
    <w:next w:val="Menciónsinresolver"/>
    <w:autoRedefine w:val="0"/>
    <w:hidden w:val="0"/>
    <w:qFormat w:val="1"/>
    <w:rPr>
      <w:color w:val="605e5c"/>
      <w:w w:val="100"/>
      <w:position w:val="-1"/>
      <w:effect w:val="none"/>
      <w:shd w:color="auto" w:fill="e1dfdd" w:val="clear"/>
      <w:vertAlign w:val="baseline"/>
      <w:cs w:val="0"/>
      <w:em w:val="none"/>
      <w:lang/>
    </w:rPr>
  </w:style>
  <w:style w:type="character" w:styleId="Hipervínculovisitado">
    <w:name w:val="Hipervínculo visitado"/>
    <w:next w:val="Hipervínculovisitado"/>
    <w:autoRedefine w:val="0"/>
    <w:hidden w:val="0"/>
    <w:qFormat w:val="1"/>
    <w:rPr>
      <w:color w:val="954f72"/>
      <w:w w:val="100"/>
      <w:position w:val="-1"/>
      <w:u w:val="single"/>
      <w:effect w:val="none"/>
      <w:vertAlign w:val="baseline"/>
      <w:cs w:val="0"/>
      <w:em w:val="none"/>
      <w:lang/>
    </w:rPr>
  </w:style>
  <w:style w:type="paragraph" w:styleId="Normal(Web)">
    <w:name w:val="Normal (Web)"/>
    <w:basedOn w:val="Normal"/>
    <w:next w:val="Normal(Web)"/>
    <w:autoRedefine w:val="0"/>
    <w:hidden w:val="0"/>
    <w:qFormat w:val="1"/>
    <w:pPr>
      <w:suppressAutoHyphens w:val="1"/>
      <w:autoSpaceDN w:val="1"/>
      <w:spacing w:after="100" w:afterAutospacing="1" w:before="100" w:beforeAutospacing="1" w:line="1" w:lineRule="atLeast"/>
      <w:ind w:leftChars="-1" w:rightChars="0" w:firstLineChars="-1"/>
      <w:textDirection w:val="btLr"/>
      <w:textAlignment w:val="auto"/>
      <w:outlineLvl w:val="0"/>
    </w:pPr>
    <w:rPr>
      <w:rFonts w:ascii="Times New Roman" w:eastAsia="Times New Roman" w:hAnsi="Times New Roman"/>
      <w:w w:val="100"/>
      <w:position w:val="-1"/>
      <w:sz w:val="24"/>
      <w:szCs w:val="24"/>
      <w:effect w:val="none"/>
      <w:vertAlign w:val="baseline"/>
      <w:cs w:val="0"/>
      <w:em w:val="none"/>
      <w:lang w:bidi="ar-SA" w:eastAsia="es-CO"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y1ZzjU2TW2QGaepY-jozABc3ipoRBxD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JUg5Ey9JoeJP5JRUpDP1bjp7rQ==">CgMxLjA4AHIhMVFJbHJSSkZCYWFsYmtwQTc5N3I3S0JuX0wtaURuemxx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2025-02-20T23:29:00Z</dcterms:created>
  <dc:creator>Edwin Morera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KSOProductBuildVer">
    <vt:lpstr>2058-12.2.0.20782</vt:lpstr>
  </property>
  <property fmtid="{D5CDD505-2E9C-101B-9397-08002B2CF9AE}" pid="4" name="ICV">
    <vt:lpstr>85534F4D9BDB485EAD0348A77CB59A05_13</vt:lpstr>
  </property>
</Properties>
</file>